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附表：</w:t>
      </w:r>
    </w:p>
    <w:p>
      <w:pPr>
        <w:widowControl/>
        <w:shd w:val="clear" w:color="auto" w:fill="FFFFFF"/>
        <w:spacing w:line="50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司法行政警察类专业招生体能测试项目及合格标准</w:t>
      </w: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496"/>
        <w:gridCol w:w="189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受测次数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男性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50米跑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≤9.2秒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≤10.4秒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立定跳远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≥2.05米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≥1.5米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1000米跑（男）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800米跑（女）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≤4分35秒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≤4分36秒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引体向上（男）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仰卧起坐（女）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≥9次/分钟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≥25次/分钟</w:t>
            </w:r>
          </w:p>
        </w:tc>
      </w:tr>
    </w:tbl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以上测试项目有3个及以上达标的，体能测试结论即为合格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（备注：此标准以发布最新通知为准）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12B249DE"/>
    <w:rsid w:val="12B2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2023-06-28T10:13:00Z</dcterms:created>
  <dc:creator>开心就好</dc:creator>
  <cp:lastModifiedBy>开心就好</cp:lastModifiedBy>
  <dcterms:modified xsi:type="dcterms:W3CDTF">2023-06-28T10:14:24Z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37953F2500FD402292605857A4D0DE1E_11</vt:lpwstr>
  </property>
</Properties>
</file>